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10AF">
        <w:rPr>
          <w:rFonts w:ascii="Times New Roman" w:hAnsi="Times New Roman"/>
          <w:b/>
          <w:bCs/>
          <w:sz w:val="28"/>
          <w:szCs w:val="28"/>
        </w:rPr>
        <w:t>МЕТОДИЧЕСКИЕ УКАЗАНИЯ К САМОСТОЯТЕЛЬНОЙ РАБОТЕ СТУДЕНТОВ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BCB" w:rsidRPr="001210AF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10AF">
        <w:rPr>
          <w:rFonts w:ascii="Times New Roman" w:hAnsi="Times New Roman"/>
          <w:b/>
          <w:sz w:val="28"/>
          <w:szCs w:val="28"/>
        </w:rPr>
        <w:t>ИСПОЛЬЗОВАНИЕ ДОМАШНЕГО ЧТЕНИЯ КАК ВИДА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10AF">
        <w:rPr>
          <w:rFonts w:ascii="Times New Roman" w:hAnsi="Times New Roman"/>
          <w:b/>
          <w:sz w:val="28"/>
          <w:szCs w:val="28"/>
        </w:rPr>
        <w:t>САМОСТОЯТЕЛЬНОЙ РАБОТЫ СТУДЕНТОВ.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BCB" w:rsidRPr="001210AF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1210AF">
        <w:rPr>
          <w:rFonts w:ascii="Times New Roman" w:hAnsi="Times New Roman"/>
          <w:b/>
          <w:sz w:val="28"/>
          <w:szCs w:val="28"/>
          <w:lang w:val="de-DE"/>
        </w:rPr>
        <w:t xml:space="preserve">Die Benutzung des Hauslesens als Art der </w:t>
      </w:r>
      <w:proofErr w:type="spellStart"/>
      <w:r w:rsidRPr="001210AF">
        <w:rPr>
          <w:rFonts w:ascii="Times New Roman" w:hAnsi="Times New Roman"/>
          <w:b/>
          <w:sz w:val="28"/>
          <w:szCs w:val="28"/>
          <w:lang w:val="de-DE"/>
        </w:rPr>
        <w:t>selbststandigen</w:t>
      </w:r>
      <w:proofErr w:type="spellEnd"/>
      <w:r w:rsidRPr="001210AF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de-DE"/>
        </w:rPr>
      </w:pP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Образовательная функция домашнего чтения − </w:t>
      </w:r>
      <w:proofErr w:type="spellStart"/>
      <w:r w:rsidRPr="001210AF">
        <w:rPr>
          <w:rFonts w:ascii="Times New Roman" w:hAnsi="Times New Roman"/>
          <w:sz w:val="28"/>
          <w:szCs w:val="28"/>
        </w:rPr>
        <w:t>культуросозидательная</w:t>
      </w:r>
      <w:proofErr w:type="spellEnd"/>
      <w:r w:rsidRPr="001210AF">
        <w:rPr>
          <w:rFonts w:ascii="Times New Roman" w:hAnsi="Times New Roman"/>
          <w:sz w:val="28"/>
          <w:szCs w:val="28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1210AF">
        <w:rPr>
          <w:rFonts w:ascii="Times New Roman" w:hAnsi="Times New Roman"/>
          <w:sz w:val="28"/>
          <w:szCs w:val="28"/>
        </w:rPr>
        <w:t>культуроцентризм</w:t>
      </w:r>
      <w:proofErr w:type="spellEnd"/>
      <w:r w:rsidRPr="001210AF">
        <w:rPr>
          <w:rFonts w:ascii="Times New Roman" w:hAnsi="Times New Roman"/>
          <w:sz w:val="28"/>
          <w:szCs w:val="28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</w:t>
      </w:r>
      <w:r w:rsidRPr="001210AF">
        <w:rPr>
          <w:rFonts w:ascii="Times New Roman" w:hAnsi="Times New Roman"/>
          <w:sz w:val="28"/>
          <w:szCs w:val="28"/>
        </w:rPr>
        <w:lastRenderedPageBreak/>
        <w:t xml:space="preserve">личным опытом и умение аргументировано изложить свое понимание проблем, затронутых в художественном произведении.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10AF">
        <w:rPr>
          <w:rFonts w:ascii="Times New Roman" w:hAnsi="Times New Roman"/>
          <w:sz w:val="28"/>
          <w:szCs w:val="28"/>
        </w:rPr>
        <w:t>т</w:t>
      </w:r>
      <w:proofErr w:type="gramEnd"/>
      <w:r w:rsidRPr="001210AF">
        <w:rPr>
          <w:rFonts w:ascii="Times New Roman" w:hAnsi="Times New Roman"/>
          <w:sz w:val="28"/>
          <w:szCs w:val="28"/>
        </w:rPr>
        <w:t xml:space="preserve">ематическая  близость  предмета  изложения  жизненному  опыту  и  интересам  обучаемых. 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1)  аутентичность;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2)  тематическая направленность, которая соответствуют интересам студента;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3)  создание положительной мотивации.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Задача преподавателя – предложить студентам информацию об  источниках и дать рекомендации по выбору литературы и статей для индивидуального чтения. </w:t>
      </w:r>
    </w:p>
    <w:p w:rsidR="00873BCB" w:rsidRPr="001210AF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AF">
        <w:rPr>
          <w:rFonts w:ascii="Times New Roman" w:hAnsi="Times New Roman"/>
          <w:sz w:val="28"/>
          <w:szCs w:val="28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873BCB" w:rsidRPr="00FC15B6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5B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1210AF" w:rsidRDefault="001210AF" w:rsidP="00873B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3BCB" w:rsidRPr="001210AF" w:rsidRDefault="00873BCB" w:rsidP="00873BCB">
      <w:pPr>
        <w:jc w:val="center"/>
        <w:rPr>
          <w:rFonts w:ascii="Times New Roman" w:hAnsi="Times New Roman"/>
          <w:b/>
          <w:sz w:val="28"/>
          <w:szCs w:val="28"/>
        </w:rPr>
      </w:pPr>
      <w:r w:rsidRPr="001210AF">
        <w:rPr>
          <w:rFonts w:ascii="Times New Roman" w:hAnsi="Times New Roman"/>
          <w:b/>
          <w:sz w:val="28"/>
          <w:szCs w:val="28"/>
        </w:rPr>
        <w:lastRenderedPageBreak/>
        <w:t>САМОСТОЯТЕЛЬНАЯ РАБОТА</w:t>
      </w:r>
    </w:p>
    <w:tbl>
      <w:tblPr>
        <w:tblW w:w="86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562"/>
        <w:gridCol w:w="2237"/>
        <w:gridCol w:w="2101"/>
      </w:tblGrid>
      <w:tr w:rsidR="00873BCB" w:rsidRPr="00B8087A" w:rsidTr="001210AF">
        <w:trPr>
          <w:trHeight w:val="559"/>
          <w:jc w:val="center"/>
        </w:trPr>
        <w:tc>
          <w:tcPr>
            <w:tcW w:w="700" w:type="dxa"/>
            <w:vAlign w:val="center"/>
          </w:tcPr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5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5C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62" w:type="dxa"/>
            <w:vAlign w:val="center"/>
          </w:tcPr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101" w:type="dxa"/>
            <w:vAlign w:val="center"/>
          </w:tcPr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73BCB" w:rsidRPr="00B8087A" w:rsidTr="001210AF">
        <w:trPr>
          <w:jc w:val="center"/>
        </w:trPr>
        <w:tc>
          <w:tcPr>
            <w:tcW w:w="700" w:type="dxa"/>
            <w:vAlign w:val="center"/>
          </w:tcPr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vAlign w:val="center"/>
          </w:tcPr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2101" w:type="dxa"/>
            <w:vAlign w:val="center"/>
          </w:tcPr>
          <w:p w:rsidR="00873BCB" w:rsidRPr="009F6383" w:rsidRDefault="009F6383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873BCB" w:rsidRPr="00B8087A" w:rsidTr="001210AF">
        <w:trPr>
          <w:trHeight w:val="326"/>
          <w:jc w:val="center"/>
        </w:trPr>
        <w:tc>
          <w:tcPr>
            <w:tcW w:w="700" w:type="dxa"/>
            <w:vAlign w:val="center"/>
          </w:tcPr>
          <w:p w:rsidR="00873BCB" w:rsidRPr="002E5CF0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873BCB" w:rsidRPr="002E5CF0" w:rsidRDefault="00873BCB" w:rsidP="004B2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01" w:type="dxa"/>
            <w:vAlign w:val="center"/>
          </w:tcPr>
          <w:p w:rsidR="00873BCB" w:rsidRPr="009F6383" w:rsidRDefault="009F6383" w:rsidP="004B2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873BCB" w:rsidRDefault="00873BCB" w:rsidP="00873BCB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</w:p>
    <w:p w:rsidR="001C4D03" w:rsidRPr="00873BCB" w:rsidRDefault="00873BCB" w:rsidP="00873BCB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Интернет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-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ресурсы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:</w:t>
      </w:r>
    </w:p>
    <w:p w:rsidR="00873BCB" w:rsidRPr="001210AF" w:rsidRDefault="001210AF">
      <w:pPr>
        <w:rPr>
          <w:rFonts w:asciiTheme="majorBidi" w:hAnsiTheme="majorBidi" w:cstheme="majorBidi"/>
          <w:sz w:val="28"/>
          <w:szCs w:val="28"/>
          <w:lang w:val="en-US"/>
        </w:rPr>
      </w:pPr>
      <w:hyperlink r:id="rId5" w:history="1">
        <w:r w:rsidR="00873BCB" w:rsidRPr="001210AF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http://school-collection.edu.ru/</w:t>
        </w:r>
      </w:hyperlink>
    </w:p>
    <w:p w:rsidR="00873BCB" w:rsidRPr="001210AF" w:rsidRDefault="001210AF">
      <w:pPr>
        <w:rPr>
          <w:rFonts w:asciiTheme="majorBidi" w:hAnsiTheme="majorBidi" w:cstheme="majorBidi"/>
          <w:sz w:val="28"/>
          <w:szCs w:val="28"/>
          <w:lang w:val="en-US"/>
        </w:rPr>
      </w:pPr>
      <w:hyperlink r:id="rId6" w:history="1">
        <w:r w:rsidR="00873BCB" w:rsidRPr="001210AF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http://pedsovet.org/</w:t>
        </w:r>
      </w:hyperlink>
    </w:p>
    <w:p w:rsidR="00873BCB" w:rsidRPr="001210AF" w:rsidRDefault="001210AF">
      <w:pPr>
        <w:rPr>
          <w:rFonts w:asciiTheme="majorBidi" w:hAnsiTheme="majorBidi" w:cstheme="majorBidi"/>
          <w:sz w:val="28"/>
          <w:szCs w:val="28"/>
          <w:lang w:val="en-US"/>
        </w:rPr>
      </w:pPr>
      <w:hyperlink r:id="rId7" w:history="1">
        <w:r w:rsidR="00873BCB" w:rsidRPr="001210AF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http://www.uroki.net/</w:t>
        </w:r>
      </w:hyperlink>
    </w:p>
    <w:p w:rsidR="00873BCB" w:rsidRPr="001210AF" w:rsidRDefault="001210AF">
      <w:pPr>
        <w:rPr>
          <w:rFonts w:asciiTheme="majorBidi" w:hAnsiTheme="majorBidi" w:cstheme="majorBidi"/>
          <w:sz w:val="28"/>
          <w:szCs w:val="28"/>
          <w:lang w:val="en-US"/>
        </w:rPr>
      </w:pPr>
      <w:hyperlink r:id="rId8" w:history="1">
        <w:r w:rsidR="00873BCB" w:rsidRPr="001210AF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http://www.deutschlern.net/</w:t>
        </w:r>
      </w:hyperlink>
    </w:p>
    <w:p w:rsidR="00873BCB" w:rsidRPr="001210AF" w:rsidRDefault="001210AF">
      <w:pPr>
        <w:rPr>
          <w:rFonts w:asciiTheme="majorBidi" w:hAnsiTheme="majorBidi" w:cstheme="majorBidi"/>
          <w:sz w:val="28"/>
          <w:szCs w:val="28"/>
        </w:rPr>
      </w:pPr>
      <w:hyperlink r:id="rId9" w:history="1">
        <w:r w:rsidRPr="00E879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http://www.juma.de/</w:t>
        </w:r>
      </w:hyperlink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sectPr w:rsidR="00873BCB" w:rsidRPr="001210AF" w:rsidSect="001C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BCB"/>
    <w:rsid w:val="001210AF"/>
    <w:rsid w:val="001C4D03"/>
    <w:rsid w:val="00873BCB"/>
    <w:rsid w:val="009F6383"/>
    <w:rsid w:val="00B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lern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sovet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ma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2016-09-27T13:32:00Z</dcterms:created>
  <dcterms:modified xsi:type="dcterms:W3CDTF">2016-09-29T10:59:00Z</dcterms:modified>
</cp:coreProperties>
</file>