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семинарских занятий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 II курс, 3 сем.</w:t>
      </w:r>
    </w:p>
    <w:tbl>
      <w:tblPr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1126"/>
        <w:gridCol w:w="6596"/>
        <w:gridCol w:w="1683"/>
      </w:tblGrid>
      <w:tr>
        <w:trPr>
          <w:cantSplit w:val="false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before="0" w:after="0"/>
              <w:rPr>
                <w:rFonts w:ascii="Nimbus Roman No9 L" w:hAnsi="Nimbus Roman No9 L"/>
                <w:color w:val="000000"/>
                <w:spacing w:val="-1"/>
                <w:sz w:val="24"/>
                <w:szCs w:val="24"/>
              </w:rPr>
            </w:pPr>
            <w:r>
              <w:rPr>
                <w:rFonts w:ascii="Nimbus Roman No9 L" w:hAnsi="Nimbus Roman No9 L"/>
                <w:color w:val="000000"/>
                <w:spacing w:val="-1"/>
                <w:sz w:val="28"/>
                <w:szCs w:val="28"/>
              </w:rPr>
              <w:t xml:space="preserve">Рассмотрение знаковой структуры костюма (материал, покрой, силуэт, колористика, орнаментика, комплектование, грим, прическа, мимика, позы). </w:t>
            </w:r>
            <w:r>
              <w:rPr>
                <w:rFonts w:ascii="Nimbus Roman No9 L" w:hAnsi="Nimbus Roman No9 L"/>
                <w:color w:val="000000"/>
                <w:spacing w:val="-1"/>
                <w:sz w:val="24"/>
                <w:szCs w:val="24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shd w:fill="FFFFFF" w:val="clear"/>
              <w:spacing w:before="0" w:after="0"/>
              <w:rPr>
                <w:rFonts w:ascii="Nimbus Roman No9 L" w:hAnsi="Nimbus Roman No9 L"/>
                <w:color w:val="000000"/>
                <w:spacing w:val="-1"/>
                <w:sz w:val="24"/>
                <w:szCs w:val="24"/>
              </w:rPr>
            </w:pPr>
            <w:r>
              <w:rPr>
                <w:rFonts w:ascii="Nimbus Roman No9 L" w:hAnsi="Nimbus Roman No9 L"/>
                <w:color w:val="000000"/>
                <w:spacing w:val="-1"/>
                <w:sz w:val="24"/>
                <w:szCs w:val="24"/>
              </w:rPr>
              <w:t>(стр. 4)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lineRule="exact" w:line="307" w:before="0" w:after="0"/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  <w:lang w:val="uk-UA"/>
              </w:rPr>
              <w:t xml:space="preserve">Рассмотрение особенностей причесок и грима Древнего Египта. Определение знаковости и символики в костюме Древнего Египта. </w:t>
            </w:r>
            <w:r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</w:t>
            </w:r>
          </w:p>
          <w:p>
            <w:pPr>
              <w:pStyle w:val="Normal"/>
              <w:shd w:fill="FFFFFF" w:val="clear"/>
              <w:spacing w:lineRule="exact" w:line="307" w:before="0" w:after="0"/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  <w:t>(стр.7-8)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 II курс, 4 сем.</w:t>
      </w:r>
    </w:p>
    <w:tbl>
      <w:tblPr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1249"/>
        <w:gridCol w:w="6474"/>
        <w:gridCol w:w="1682"/>
      </w:tblGrid>
      <w:tr>
        <w:trPr>
          <w:cantSplit w:val="false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widowControl w:val="false"/>
              <w:shd w:fill="FFFFFF" w:val="clear"/>
              <w:spacing w:before="0" w:after="0"/>
              <w:jc w:val="both"/>
              <w:rPr>
                <w:rFonts w:ascii="Nimbus Roman No9 L" w:hAnsi="Nimbus Roman No9 L"/>
                <w:color w:val="000000"/>
                <w:spacing w:val="1"/>
                <w:sz w:val="24"/>
                <w:szCs w:val="24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</w:rPr>
              <w:t xml:space="preserve">Анализ особенностей декоративно-прикладного искусства эпохи Возрождения (ткани, техника декора, ювелирное дело). Изучение характерных национальных и социальных черт в образе украшения итальянского и испанского костюма. </w:t>
            </w:r>
            <w:r>
              <w:rPr>
                <w:rFonts w:ascii="Nimbus Roman No9 L" w:hAnsi="Nimbus Roman No9 L"/>
                <w:color w:val="000000"/>
                <w:spacing w:val="1"/>
                <w:sz w:val="24"/>
                <w:szCs w:val="24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widowControl w:val="false"/>
              <w:shd w:fill="FFFFFF" w:val="clear"/>
              <w:spacing w:before="0" w:after="0"/>
              <w:jc w:val="both"/>
              <w:rPr>
                <w:rFonts w:ascii="Nimbus Roman No9 L" w:hAnsi="Nimbus Roman No9 L"/>
                <w:color w:val="000000"/>
                <w:spacing w:val="1"/>
                <w:sz w:val="24"/>
                <w:szCs w:val="24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4"/>
                <w:szCs w:val="24"/>
              </w:rPr>
              <w:t>(стр. 90)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before="0" w:after="0"/>
              <w:jc w:val="both"/>
              <w:rPr>
                <w:rFonts w:ascii="Nimbus Roman No9 L" w:hAnsi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 xml:space="preserve">Анализ  европейского костюма в XVI в. 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ascii="Nimbus Roman No9 L" w:hAnsi="Nimbus Roman No9 L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</w:rPr>
              <w:t>(стр.100)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 III курс, 5 сем.</w:t>
      </w:r>
    </w:p>
    <w:tbl>
      <w:tblPr>
        <w:jc w:val="left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1154"/>
        <w:gridCol w:w="6011"/>
        <w:gridCol w:w="2241"/>
      </w:tblGrid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Правление Людовика XVI. Появление новых эстетических представлений эпохи барокко.</w:t>
            </w:r>
          </w:p>
          <w:p>
            <w:pPr>
              <w:pStyle w:val="Normal"/>
              <w:numPr>
                <w:ilvl w:val="0"/>
                <w:numId w:val="1"/>
              </w:numPr>
              <w:shd w:fill="FFFFFF" w:val="clear"/>
              <w:spacing w:lineRule="auto" w:line="360"/>
              <w:ind w:left="0" w:right="0" w:hanging="360"/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numPr>
                <w:ilvl w:val="0"/>
                <w:numId w:val="1"/>
              </w:numPr>
              <w:shd w:fill="FFFFFF" w:val="clear"/>
              <w:spacing w:lineRule="auto" w:line="360"/>
              <w:ind w:left="0" w:right="0" w:hanging="360"/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(стр. 122)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Эстетические идеалы эпохи рококо и их влияние на формирование костюма XVII в. 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(стр. 128)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 III курс, 6 сем.</w:t>
      </w:r>
    </w:p>
    <w:tbl>
      <w:tblPr>
        <w:jc w:val="left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1154"/>
        <w:gridCol w:w="6011"/>
        <w:gridCol w:w="2241"/>
      </w:tblGrid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Влияние античности на формирование европейского костюма периода ампир. 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(стр. 136)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Анализ дендизма как феномена моды. 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Блейз А. История в костюмах. От фараона до денди. – М., 2001.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(стр. 150)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 4 курс, 7 сем.</w:t>
      </w:r>
    </w:p>
    <w:tbl>
      <w:tblPr>
        <w:jc w:val="left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1144"/>
        <w:gridCol w:w="5947"/>
        <w:gridCol w:w="2262"/>
      </w:tblGrid>
      <w:tr>
        <w:trPr>
          <w:cantSplit w:val="false"/>
        </w:trPr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Анализ типичных черт стиля модерн. 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(стр. 154)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Рассмотрение творческой деятельности Ив Сен Лорана, Жана-Поля Готье, К.Лагерфельда, Дж.Армани, К.Кляйна и других выдающихся дизайнеров этого периода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5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   </w:t>
      </w:r>
    </w:p>
    <w:p>
      <w:pPr>
        <w:pStyle w:val="Normal"/>
        <w:ind w:left="7366" w:right="0" w:hanging="6946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Список литературы</w:t>
      </w:r>
    </w:p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shd w:fill="FFFFFF" w:val="clear"/>
        <w:spacing w:lineRule="auto" w:line="360"/>
        <w:ind w:left="0" w:right="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1. Блейз А. История в костюмах. От фараона до денди. – М., 2001.</w:t>
      </w:r>
    </w:p>
    <w:p>
      <w:pPr>
        <w:pStyle w:val="Normal"/>
        <w:widowControl/>
        <w:shd w:fill="FFFFFF" w:val="clear"/>
        <w:suppressAutoHyphens w:val="true"/>
        <w:overflowPunct w:val="false"/>
        <w:bidi w:val="0"/>
        <w:spacing w:lineRule="auto" w:line="360"/>
        <w:ind w:left="0" w:right="0" w:hanging="57"/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 xml:space="preserve"> </w:t>
      </w:r>
      <w:r>
        <w:rPr>
          <w:bCs/>
          <w:spacing w:val="-6"/>
          <w:sz w:val="24"/>
          <w:szCs w:val="24"/>
          <w:lang w:val="uk-UA"/>
        </w:rPr>
        <w:t xml:space="preserve">2.. </w:t>
      </w:r>
      <w:bookmarkStart w:id="0" w:name="__DdeLink__159_1062053563"/>
      <w:r>
        <w:rPr>
          <w:bCs/>
          <w:spacing w:val="-6"/>
          <w:sz w:val="24"/>
          <w:szCs w:val="24"/>
          <w:lang w:val="uk-UA"/>
        </w:rPr>
        <w:t>Малхасян А.С. Методические указания для выполнения практических и самостоятельных 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</w:t>
      </w:r>
      <w:bookmarkEnd w:id="0"/>
      <w:r>
        <w:rPr>
          <w:bCs/>
          <w:spacing w:val="-6"/>
          <w:sz w:val="24"/>
          <w:szCs w:val="24"/>
          <w:lang w:val="uk-UA"/>
        </w:rPr>
        <w:t>»). - Л.: ЛГАКИ 2010. - 14 с.</w:t>
      </w:r>
    </w:p>
    <w:p>
      <w:pPr>
        <w:pStyle w:val="Normal"/>
        <w:widowControl/>
        <w:shd w:fill="FFFFFF" w:val="clear"/>
        <w:suppressAutoHyphens w:val="true"/>
        <w:overflowPunct w:val="false"/>
        <w:bidi w:val="0"/>
        <w:spacing w:lineRule="auto" w:line="360"/>
        <w:ind w:left="0" w:right="0" w:hanging="57"/>
        <w:jc w:val="both"/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</w:pPr>
      <w:r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  <w:t xml:space="preserve"> </w:t>
      </w:r>
      <w:r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  <w:t>3. 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</w:t>
      </w:r>
    </w:p>
    <w:sectPr>
      <w:type w:val="nextPage"/>
      <w:pgSz w:w="11906" w:h="16838"/>
      <w:pgMar w:left="1288" w:right="1142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2016-03-04T23:37:50Z</dcterms:created>
  <dc:language>ru-RU</dc:language>
  <cp:revision>0</cp:revision>
</cp:coreProperties>
</file>